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7A7F" w14:textId="77777777" w:rsidR="00CF07C8" w:rsidRPr="00341B89" w:rsidRDefault="00CF07C8" w:rsidP="00CF07C8">
      <w:pPr>
        <w:rPr>
          <w:rFonts w:ascii="Book Antiqua" w:hAnsi="Book Antiqua"/>
        </w:rPr>
      </w:pPr>
      <w:r w:rsidRPr="00341B89">
        <w:rPr>
          <w:rFonts w:ascii="Book Antiqua" w:hAnsi="Book Antiqua"/>
        </w:rPr>
        <w:t>Paper 1 Assignment</w:t>
      </w:r>
    </w:p>
    <w:p w14:paraId="0D7E6009" w14:textId="783AAD64" w:rsidR="00CF07C8" w:rsidRDefault="00CF07C8" w:rsidP="00CF07C8">
      <w:pPr>
        <w:rPr>
          <w:rFonts w:ascii="Book Antiqua" w:hAnsi="Book Antiqua"/>
        </w:rPr>
      </w:pPr>
      <w:r>
        <w:rPr>
          <w:rFonts w:ascii="Book Antiqua" w:hAnsi="Book Antiqua"/>
        </w:rPr>
        <w:t>WR 15</w:t>
      </w:r>
      <w:r w:rsidRPr="00341B89">
        <w:rPr>
          <w:rFonts w:ascii="Book Antiqua" w:hAnsi="Book Antiqua"/>
        </w:rPr>
        <w:t>0: Women and Madness in Literature</w:t>
      </w:r>
    </w:p>
    <w:p w14:paraId="44370386" w14:textId="77777777" w:rsidR="00CF07C8" w:rsidRDefault="00CF07C8" w:rsidP="00CF07C8">
      <w:pPr>
        <w:rPr>
          <w:rFonts w:ascii="Book Antiqua" w:hAnsi="Book Antiqua"/>
        </w:rPr>
      </w:pPr>
    </w:p>
    <w:p w14:paraId="0D8F05BF" w14:textId="77777777" w:rsidR="00CF07C8" w:rsidRDefault="00CF07C8" w:rsidP="00CF07C8">
      <w:pPr>
        <w:rPr>
          <w:rFonts w:ascii="Book Antiqua" w:hAnsi="Book Antiqua"/>
          <w:b/>
        </w:rPr>
      </w:pPr>
      <w:r>
        <w:rPr>
          <w:rFonts w:ascii="Book Antiqua" w:hAnsi="Book Antiqua"/>
          <w:b/>
        </w:rPr>
        <w:t>Purpose</w:t>
      </w:r>
    </w:p>
    <w:p w14:paraId="42DC309A" w14:textId="631D5B27" w:rsidR="00CF07C8" w:rsidRDefault="00CF07C8" w:rsidP="00CF07C8">
      <w:pPr>
        <w:rPr>
          <w:rFonts w:ascii="Book Antiqua" w:hAnsi="Book Antiqua"/>
        </w:rPr>
      </w:pPr>
      <w:r>
        <w:rPr>
          <w:rFonts w:ascii="Book Antiqua" w:hAnsi="Book Antiqua"/>
        </w:rPr>
        <w:t xml:space="preserve">To enter an already existing conversation about a text; to use a source to motivate an argument; to structure a coherent argument and provide appropriate textual evidence with analysis; to continue developing research skills. </w:t>
      </w:r>
    </w:p>
    <w:p w14:paraId="144150F9" w14:textId="77777777" w:rsidR="00CF07C8" w:rsidRDefault="00CF07C8" w:rsidP="00CF07C8">
      <w:pPr>
        <w:rPr>
          <w:rFonts w:ascii="Book Antiqua" w:hAnsi="Book Antiqua"/>
        </w:rPr>
      </w:pPr>
    </w:p>
    <w:p w14:paraId="28CC2FCF" w14:textId="77777777" w:rsidR="00CF07C8" w:rsidRDefault="00CF07C8" w:rsidP="00CF07C8">
      <w:pPr>
        <w:rPr>
          <w:rFonts w:ascii="Book Antiqua" w:hAnsi="Book Antiqua"/>
          <w:b/>
        </w:rPr>
      </w:pPr>
      <w:r>
        <w:rPr>
          <w:rFonts w:ascii="Book Antiqua" w:hAnsi="Book Antiqua"/>
          <w:b/>
        </w:rPr>
        <w:t>Assignment</w:t>
      </w:r>
    </w:p>
    <w:p w14:paraId="3C52D963" w14:textId="267FCB53" w:rsidR="00CF07C8" w:rsidRDefault="00CF07C8" w:rsidP="00CF07C8">
      <w:pPr>
        <w:rPr>
          <w:rFonts w:ascii="Book Antiqua" w:hAnsi="Book Antiqua"/>
        </w:rPr>
      </w:pPr>
      <w:r>
        <w:rPr>
          <w:rFonts w:ascii="Book Antiqua" w:hAnsi="Book Antiqua"/>
        </w:rPr>
        <w:t xml:space="preserve">In an essay of around 1000 words, write an argument about </w:t>
      </w:r>
      <w:r>
        <w:rPr>
          <w:rFonts w:ascii="Book Antiqua" w:hAnsi="Book Antiqua"/>
          <w:i/>
        </w:rPr>
        <w:t>Trifles</w:t>
      </w:r>
      <w:r>
        <w:rPr>
          <w:rFonts w:ascii="Book Antiqua" w:hAnsi="Book Antiqua"/>
        </w:rPr>
        <w:t xml:space="preserve"> that is motivated by the argument source excerpt at the bottom of this page. Your primary focus in this essay is the play (exhibit source), so you will need to include carefully selected passages with accompanying analysis. Judith Stephens will motivate your argument to give it a direction and shape. You must use one to two additional peer-reviewed sources (argument or theory) to enhance your argument. Use the Mugar Library site for your search. </w:t>
      </w:r>
    </w:p>
    <w:p w14:paraId="516A85DA" w14:textId="77777777" w:rsidR="00CF07C8" w:rsidRDefault="00CF07C8" w:rsidP="00CF07C8">
      <w:pPr>
        <w:rPr>
          <w:rFonts w:ascii="Book Antiqua" w:hAnsi="Book Antiqua"/>
        </w:rPr>
      </w:pPr>
    </w:p>
    <w:p w14:paraId="7E9DE2B2" w14:textId="77777777" w:rsidR="00CF07C8" w:rsidRDefault="00CF07C8" w:rsidP="00CF07C8">
      <w:pPr>
        <w:rPr>
          <w:rFonts w:ascii="Book Antiqua" w:hAnsi="Book Antiqua"/>
          <w:b/>
        </w:rPr>
      </w:pPr>
      <w:r w:rsidRPr="00DE3414">
        <w:rPr>
          <w:rFonts w:ascii="Book Antiqua" w:hAnsi="Book Antiqua"/>
          <w:b/>
        </w:rPr>
        <w:t>Logistics</w:t>
      </w:r>
    </w:p>
    <w:p w14:paraId="0A0EB317" w14:textId="3D571895" w:rsidR="00CF07C8" w:rsidRDefault="00CF07C8" w:rsidP="00CF07C8">
      <w:pPr>
        <w:rPr>
          <w:rFonts w:ascii="Book Antiqua" w:hAnsi="Book Antiqua"/>
        </w:rPr>
      </w:pPr>
      <w:r>
        <w:rPr>
          <w:rFonts w:ascii="Book Antiqua" w:hAnsi="Book Antiqua"/>
        </w:rPr>
        <w:t xml:space="preserve">Paper claim and introductory paragraph </w:t>
      </w:r>
      <w:r>
        <w:rPr>
          <w:rFonts w:ascii="Book Antiqua" w:hAnsi="Book Antiqua"/>
        </w:rPr>
        <w:tab/>
      </w:r>
      <w:r>
        <w:rPr>
          <w:rFonts w:ascii="Book Antiqua" w:hAnsi="Book Antiqua"/>
        </w:rPr>
        <w:tab/>
      </w:r>
      <w:r>
        <w:rPr>
          <w:rFonts w:ascii="Book Antiqua" w:hAnsi="Book Antiqua"/>
        </w:rPr>
        <w:tab/>
        <w:t xml:space="preserve">Due </w:t>
      </w:r>
      <w:r w:rsidR="00682A35">
        <w:rPr>
          <w:rFonts w:ascii="Book Antiqua" w:hAnsi="Book Antiqua"/>
        </w:rPr>
        <w:t>Thurs., Jan. 25</w:t>
      </w:r>
    </w:p>
    <w:p w14:paraId="70F92689" w14:textId="1FB01082" w:rsidR="00CF07C8" w:rsidRDefault="00CF07C8" w:rsidP="00CF07C8">
      <w:pPr>
        <w:rPr>
          <w:rFonts w:ascii="Book Antiqua" w:hAnsi="Book Antiqua"/>
        </w:rPr>
      </w:pPr>
      <w:r>
        <w:rPr>
          <w:rFonts w:ascii="Book Antiqua" w:hAnsi="Book Antiqua"/>
        </w:rPr>
        <w:t>First Draft, Peer Review Workshop</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Due </w:t>
      </w:r>
      <w:r w:rsidR="00682A35">
        <w:rPr>
          <w:rFonts w:ascii="Book Antiqua" w:hAnsi="Book Antiqua"/>
        </w:rPr>
        <w:t>Tues., Jan. 30</w:t>
      </w:r>
    </w:p>
    <w:p w14:paraId="214843EB" w14:textId="71508A97" w:rsidR="00CF07C8" w:rsidRDefault="00CF07C8" w:rsidP="00CF07C8">
      <w:pPr>
        <w:ind w:left="6480" w:hanging="6480"/>
        <w:rPr>
          <w:rFonts w:ascii="Book Antiqua" w:hAnsi="Book Antiqua"/>
        </w:rPr>
      </w:pPr>
      <w:r>
        <w:rPr>
          <w:rFonts w:ascii="Book Antiqua" w:hAnsi="Book Antiqua"/>
        </w:rPr>
        <w:t xml:space="preserve">Mandatory Conference </w:t>
      </w:r>
      <w:r>
        <w:rPr>
          <w:rFonts w:ascii="Book Antiqua" w:hAnsi="Book Antiqua"/>
        </w:rPr>
        <w:tab/>
      </w:r>
      <w:r w:rsidR="00813E6A">
        <w:rPr>
          <w:rFonts w:ascii="Book Antiqua" w:hAnsi="Book Antiqua"/>
        </w:rPr>
        <w:t>Tues., Jan. 30-Thurs., Feb. 1</w:t>
      </w:r>
    </w:p>
    <w:p w14:paraId="6C624272" w14:textId="0E35B1B5" w:rsidR="00CF07C8" w:rsidRDefault="00CF07C8" w:rsidP="00CF07C8">
      <w:pPr>
        <w:ind w:left="6480" w:hanging="6480"/>
        <w:rPr>
          <w:rFonts w:ascii="Book Antiqua" w:hAnsi="Book Antiqua"/>
        </w:rPr>
      </w:pPr>
      <w:r>
        <w:rPr>
          <w:rFonts w:ascii="Book Antiqua" w:hAnsi="Book Antiqua"/>
        </w:rPr>
        <w:t xml:space="preserve">Final Draft </w:t>
      </w:r>
      <w:r>
        <w:rPr>
          <w:rFonts w:ascii="Book Antiqua" w:hAnsi="Book Antiqua"/>
        </w:rPr>
        <w:tab/>
        <w:t xml:space="preserve">Due </w:t>
      </w:r>
      <w:r w:rsidR="00D50D9E">
        <w:rPr>
          <w:rFonts w:ascii="Book Antiqua" w:hAnsi="Book Antiqua"/>
        </w:rPr>
        <w:t>Thurs., Feb. 8</w:t>
      </w:r>
    </w:p>
    <w:p w14:paraId="109BF279" w14:textId="77777777" w:rsidR="00CF07C8" w:rsidRDefault="00CF07C8" w:rsidP="00CF07C8">
      <w:pPr>
        <w:ind w:left="6480" w:hanging="6480"/>
        <w:rPr>
          <w:rFonts w:ascii="Book Antiqua" w:hAnsi="Book Antiqua"/>
        </w:rPr>
      </w:pPr>
    </w:p>
    <w:p w14:paraId="49B1C487" w14:textId="77777777" w:rsidR="00CF07C8" w:rsidRDefault="00CF07C8" w:rsidP="00CF07C8">
      <w:pPr>
        <w:ind w:left="6480" w:hanging="6480"/>
        <w:rPr>
          <w:rFonts w:ascii="Book Antiqua" w:hAnsi="Book Antiqua"/>
          <w:b/>
        </w:rPr>
      </w:pPr>
      <w:r>
        <w:rPr>
          <w:rFonts w:ascii="Book Antiqua" w:hAnsi="Book Antiqua"/>
          <w:b/>
        </w:rPr>
        <w:t>Requirements</w:t>
      </w:r>
    </w:p>
    <w:p w14:paraId="43CD4E34" w14:textId="479D821C" w:rsidR="00CF07C8" w:rsidRDefault="00CF07C8" w:rsidP="00CF07C8">
      <w:pPr>
        <w:pStyle w:val="ListParagraph"/>
        <w:numPr>
          <w:ilvl w:val="0"/>
          <w:numId w:val="1"/>
        </w:numPr>
        <w:rPr>
          <w:rFonts w:ascii="Book Antiqua" w:hAnsi="Book Antiqua"/>
        </w:rPr>
      </w:pPr>
      <w:r>
        <w:rPr>
          <w:rFonts w:ascii="Book Antiqua" w:hAnsi="Book Antiqua"/>
        </w:rPr>
        <w:t>Include a correctly f</w:t>
      </w:r>
      <w:r w:rsidR="000930C0">
        <w:rPr>
          <w:rFonts w:ascii="Book Antiqua" w:hAnsi="Book Antiqua"/>
        </w:rPr>
        <w:t>ormatted Works Cited page (see OWL at Purdue website)</w:t>
      </w:r>
    </w:p>
    <w:p w14:paraId="363DEE98" w14:textId="77777777" w:rsidR="00CF07C8" w:rsidRDefault="00CF07C8" w:rsidP="00CF07C8">
      <w:pPr>
        <w:pStyle w:val="ListParagraph"/>
        <w:numPr>
          <w:ilvl w:val="0"/>
          <w:numId w:val="1"/>
        </w:numPr>
        <w:rPr>
          <w:rFonts w:ascii="Book Antiqua" w:hAnsi="Book Antiqua"/>
        </w:rPr>
      </w:pPr>
      <w:r>
        <w:rPr>
          <w:rFonts w:ascii="Book Antiqua" w:hAnsi="Book Antiqua"/>
        </w:rPr>
        <w:t>Title your essay (see Turabian 13.3, p. 127).</w:t>
      </w:r>
    </w:p>
    <w:p w14:paraId="00F6FE8F" w14:textId="77777777" w:rsidR="00CF07C8" w:rsidRPr="00BF2453" w:rsidRDefault="00CF07C8" w:rsidP="00CF07C8">
      <w:pPr>
        <w:pStyle w:val="ListParagraph"/>
        <w:numPr>
          <w:ilvl w:val="0"/>
          <w:numId w:val="1"/>
        </w:numPr>
        <w:rPr>
          <w:rFonts w:ascii="Book Antiqua" w:hAnsi="Book Antiqua"/>
        </w:rPr>
      </w:pPr>
      <w:r>
        <w:rPr>
          <w:rFonts w:ascii="Book Antiqua" w:hAnsi="Book Antiqua"/>
        </w:rPr>
        <w:t>Add a word count to the end of your essay.</w:t>
      </w:r>
    </w:p>
    <w:p w14:paraId="1E90766A" w14:textId="77777777" w:rsidR="00CF07C8" w:rsidRDefault="00CF07C8" w:rsidP="00CF07C8">
      <w:pPr>
        <w:ind w:left="6480" w:hanging="6480"/>
        <w:rPr>
          <w:rFonts w:ascii="Book Antiqua" w:hAnsi="Book Antiqua"/>
        </w:rPr>
      </w:pPr>
    </w:p>
    <w:p w14:paraId="271B7868" w14:textId="77777777" w:rsidR="00CF07C8" w:rsidRPr="0036012C" w:rsidRDefault="00CF07C8" w:rsidP="00CF07C8">
      <w:pPr>
        <w:widowControl w:val="0"/>
        <w:autoSpaceDE w:val="0"/>
        <w:autoSpaceDN w:val="0"/>
        <w:adjustRightInd w:val="0"/>
        <w:spacing w:after="240" w:line="280" w:lineRule="atLeast"/>
        <w:rPr>
          <w:rFonts w:ascii="Book Antiqua" w:hAnsi="Book Antiqua" w:cs="Times"/>
          <w:color w:val="000000"/>
        </w:rPr>
      </w:pPr>
      <w:r>
        <w:rPr>
          <w:rFonts w:ascii="Book Antiqua" w:hAnsi="Book Antiqua" w:cs="Times"/>
          <w:color w:val="000000"/>
        </w:rPr>
        <w:t>“</w:t>
      </w:r>
      <w:r w:rsidRPr="0036012C">
        <w:rPr>
          <w:rFonts w:ascii="Book Antiqua" w:hAnsi="Book Antiqua" w:cs="Times"/>
          <w:color w:val="000000"/>
        </w:rPr>
        <w:t>I am suggesting that, in addition to these views, the play also colludes with dominant gender ideology, and, in this respect, refutes its own argument. Compensation is at work here because the women's moral superiority enables them to go against or to subvert conventional law and still be ‘right.’ However, recuperation is served in that ‘women's law’ is pitted against ‘men's law,’ and thus the play perpetuates the idea of separate spheres. By finding and concealing the incriminating evidence, the women win their own individual victory, but the system continues intact</w:t>
      </w:r>
      <w:proofErr w:type="gramStart"/>
      <w:r w:rsidRPr="0036012C">
        <w:rPr>
          <w:rFonts w:ascii="Book Antiqua" w:hAnsi="Book Antiqua" w:cs="Times"/>
          <w:color w:val="000000"/>
        </w:rPr>
        <w:t>….The</w:t>
      </w:r>
      <w:proofErr w:type="gramEnd"/>
      <w:r w:rsidRPr="0036012C">
        <w:rPr>
          <w:rFonts w:ascii="Book Antiqua" w:hAnsi="Book Antiqua" w:cs="Times"/>
          <w:color w:val="000000"/>
        </w:rPr>
        <w:t xml:space="preserve"> play perpetuates the romantic notion that each woman can secretly and individually subvert the larger system, if </w:t>
      </w:r>
      <w:r>
        <w:rPr>
          <w:rFonts w:ascii="Book Antiqua" w:hAnsi="Book Antiqua" w:cs="Times"/>
          <w:color w:val="000000"/>
        </w:rPr>
        <w:t>she so desires.”</w:t>
      </w:r>
    </w:p>
    <w:p w14:paraId="63E70017" w14:textId="77777777" w:rsidR="00CF07C8" w:rsidRPr="00D00A9F" w:rsidRDefault="00CF07C8" w:rsidP="00CF07C8">
      <w:pPr>
        <w:rPr>
          <w:rFonts w:ascii="Book Antiqua" w:eastAsia="Times New Roman" w:hAnsi="Book Antiqua" w:cs="Arial"/>
          <w:b/>
          <w:color w:val="333333"/>
          <w:shd w:val="clear" w:color="auto" w:fill="FFFFFF"/>
        </w:rPr>
      </w:pPr>
      <w:r w:rsidRPr="00C60092">
        <w:rPr>
          <w:rFonts w:ascii="Book Antiqua" w:eastAsia="Times New Roman" w:hAnsi="Book Antiqua" w:cs="Arial"/>
          <w:b/>
          <w:color w:val="333333"/>
          <w:shd w:val="clear" w:color="auto" w:fill="FFFFFF"/>
        </w:rPr>
        <w:t xml:space="preserve">Stephens, Judith L. “Gender Ideology and Dramatic Convention in Progressive Era </w:t>
      </w:r>
    </w:p>
    <w:p w14:paraId="2FFB4D6F" w14:textId="77777777" w:rsidR="00CF07C8" w:rsidRPr="00C60092" w:rsidRDefault="00CF07C8" w:rsidP="00CF07C8">
      <w:pPr>
        <w:ind w:firstLine="720"/>
        <w:rPr>
          <w:rFonts w:ascii="Book Antiqua" w:eastAsia="Times New Roman" w:hAnsi="Book Antiqua" w:cs="Times New Roman"/>
          <w:b/>
        </w:rPr>
      </w:pPr>
      <w:r w:rsidRPr="00C60092">
        <w:rPr>
          <w:rFonts w:ascii="Book Antiqua" w:eastAsia="Times New Roman" w:hAnsi="Book Antiqua" w:cs="Arial"/>
          <w:b/>
          <w:color w:val="333333"/>
          <w:shd w:val="clear" w:color="auto" w:fill="FFFFFF"/>
        </w:rPr>
        <w:t>Plays, 1890-1920.” </w:t>
      </w:r>
      <w:r w:rsidRPr="00C60092">
        <w:rPr>
          <w:rFonts w:ascii="Book Antiqua" w:eastAsia="Times New Roman" w:hAnsi="Book Antiqua" w:cs="Arial"/>
          <w:b/>
          <w:i/>
          <w:iCs/>
          <w:color w:val="333333"/>
          <w:shd w:val="clear" w:color="auto" w:fill="FFFFFF"/>
        </w:rPr>
        <w:t>Theatre Journal</w:t>
      </w:r>
      <w:r w:rsidRPr="00C60092">
        <w:rPr>
          <w:rFonts w:ascii="Book Antiqua" w:eastAsia="Times New Roman" w:hAnsi="Book Antiqua" w:cs="Arial"/>
          <w:b/>
          <w:color w:val="333333"/>
          <w:shd w:val="clear" w:color="auto" w:fill="FFFFFF"/>
        </w:rPr>
        <w:t>, vol. 41, no. 1, 1989, pp. 45–55. </w:t>
      </w:r>
    </w:p>
    <w:p w14:paraId="44F0D1B8" w14:textId="77777777" w:rsidR="00975FAF" w:rsidRDefault="000301DA"/>
    <w:sectPr w:rsidR="00975FAF" w:rsidSect="00E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4D6D"/>
    <w:multiLevelType w:val="hybridMultilevel"/>
    <w:tmpl w:val="48E6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B3"/>
    <w:rsid w:val="00002E5B"/>
    <w:rsid w:val="000301DA"/>
    <w:rsid w:val="00064B15"/>
    <w:rsid w:val="000930C0"/>
    <w:rsid w:val="00682A35"/>
    <w:rsid w:val="007F7AB3"/>
    <w:rsid w:val="00813E6A"/>
    <w:rsid w:val="00CF07C8"/>
    <w:rsid w:val="00D50D9E"/>
    <w:rsid w:val="00E1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DDA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cp:lastPrinted>2018-01-22T21:04:00Z</cp:lastPrinted>
  <dcterms:created xsi:type="dcterms:W3CDTF">2021-01-10T19:24:00Z</dcterms:created>
  <dcterms:modified xsi:type="dcterms:W3CDTF">2021-01-10T19:24:00Z</dcterms:modified>
</cp:coreProperties>
</file>